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A7B" w:rsidRPr="005E6A7B" w:rsidRDefault="005E6A7B" w:rsidP="005E6A7B">
      <w:pPr>
        <w:ind w:left="-426" w:right="-284"/>
        <w:jc w:val="right"/>
        <w:rPr>
          <w:rFonts w:ascii="Arial" w:hAnsi="Arial" w:cs="Arial"/>
          <w:b/>
          <w:bCs/>
          <w:sz w:val="16"/>
          <w:szCs w:val="16"/>
        </w:rPr>
      </w:pPr>
      <w:r w:rsidRPr="005E6A7B">
        <w:rPr>
          <w:rFonts w:ascii="Arial" w:hAnsi="Arial" w:cs="Arial"/>
          <w:b/>
          <w:bCs/>
          <w:sz w:val="16"/>
          <w:szCs w:val="16"/>
        </w:rPr>
        <w:t>załącznik nr 2 do SIWZ</w:t>
      </w:r>
    </w:p>
    <w:p w:rsidR="005E6A7B" w:rsidRPr="005E6A7B" w:rsidRDefault="005E6A7B" w:rsidP="005E6A7B">
      <w:pPr>
        <w:ind w:left="-426" w:right="-284"/>
        <w:jc w:val="right"/>
        <w:rPr>
          <w:rFonts w:ascii="Arial" w:hAnsi="Arial" w:cs="Arial"/>
          <w:b/>
          <w:bCs/>
          <w:sz w:val="18"/>
          <w:szCs w:val="18"/>
        </w:rPr>
      </w:pPr>
    </w:p>
    <w:p w:rsidR="00984B5D" w:rsidRPr="005E6A7B" w:rsidRDefault="005E6A7B" w:rsidP="005E6A7B">
      <w:pPr>
        <w:pStyle w:val="Tytu"/>
        <w:spacing w:line="240" w:lineRule="auto"/>
        <w:ind w:left="-426" w:right="-284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>Szczegółowy opis przedmiotu zamówienia</w:t>
      </w:r>
    </w:p>
    <w:p w:rsidR="001A1762" w:rsidRPr="005E6A7B" w:rsidRDefault="001A1762" w:rsidP="00227862">
      <w:pPr>
        <w:pStyle w:val="Tytu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148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28"/>
        <w:gridCol w:w="3543"/>
        <w:gridCol w:w="2835"/>
      </w:tblGrid>
      <w:tr w:rsidR="005E6A7B" w:rsidRPr="005E6A7B" w:rsidTr="00B15AAB">
        <w:trPr>
          <w:trHeight w:val="71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pStyle w:val="Nagwek1"/>
              <w:rPr>
                <w:rFonts w:ascii="Arial" w:hAnsi="Arial" w:cs="Arial"/>
                <w:szCs w:val="18"/>
              </w:rPr>
            </w:pPr>
            <w:r w:rsidRPr="005E6A7B">
              <w:rPr>
                <w:rFonts w:ascii="Arial" w:hAnsi="Arial" w:cs="Arial"/>
                <w:szCs w:val="18"/>
              </w:rPr>
              <w:t>Opis parametru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Wartość wymagana/graniczna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Opis oferowanych przez Wykonawcę parametrów</w:t>
            </w:r>
          </w:p>
        </w:tc>
      </w:tr>
      <w:tr w:rsidR="005E6A7B" w:rsidRPr="005E6A7B" w:rsidTr="00B15AAB">
        <w:trPr>
          <w:trHeight w:val="27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4.</w:t>
            </w:r>
          </w:p>
        </w:tc>
      </w:tr>
      <w:tr w:rsidR="005E6A7B" w:rsidRPr="005E6A7B" w:rsidTr="00B16566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9C7781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I. WYMAGANIA OGÓLNE</w:t>
            </w:r>
          </w:p>
        </w:tc>
      </w:tr>
      <w:tr w:rsidR="005E6A7B" w:rsidRPr="005E6A7B" w:rsidTr="005E6A7B">
        <w:trPr>
          <w:trHeight w:val="72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-84" w:righ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Tomograf nowy wyprodukowany w 2019 roku, nieużywany, nie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rekondycjonowany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>, w najnowszej wersji sprzętowej i oprogramowania na dzień składania oferty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3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-84" w:righ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8829F8" w:rsidRDefault="005E6A7B" w:rsidP="00DB3DD5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 xml:space="preserve">Tomograf komputerowy całego ciała, umożliwiający uzyskanie min. 32 warstw badanego obszaru w czasie jednego pełnego obrotu układu lampa-detektor, </w:t>
            </w:r>
            <w:r w:rsidRPr="008829F8">
              <w:rPr>
                <w:rFonts w:ascii="Arial" w:hAnsi="Arial" w:cs="Arial"/>
                <w:color w:val="000000"/>
                <w:sz w:val="18"/>
                <w:szCs w:val="18"/>
              </w:rPr>
              <w:t>posiadający detektor minimum 16 rzędowy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8829F8" w:rsidRDefault="005E6A7B" w:rsidP="005E3BA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>Tak, podać</w:t>
            </w:r>
          </w:p>
          <w:p w:rsidR="00DB3DD5" w:rsidRPr="008829F8" w:rsidRDefault="00DB3DD5" w:rsidP="00DB3DD5">
            <w:pPr>
              <w:keepNext/>
              <w:keepLines/>
              <w:ind w:left="35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>32 warstwy – 0 pkt</w:t>
            </w:r>
          </w:p>
          <w:p w:rsidR="00DB3DD5" w:rsidRPr="008829F8" w:rsidRDefault="00DB3DD5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>&gt; 32 warstwy – 10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3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-84" w:righ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</w:t>
            </w:r>
            <w:r w:rsidR="00926A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Szerokość detektora min. 18mm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18-19mm – 0 pkt</w:t>
            </w:r>
          </w:p>
          <w:p w:rsidR="005E6A7B" w:rsidRPr="005E6A7B" w:rsidRDefault="005E6A7B" w:rsidP="00926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20 mm</w:t>
            </w:r>
            <w:r w:rsidR="00926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6A5B" w:rsidRPr="005E6A7B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5E6A7B">
              <w:rPr>
                <w:rFonts w:ascii="Arial" w:hAnsi="Arial" w:cs="Arial"/>
                <w:sz w:val="18"/>
                <w:szCs w:val="18"/>
              </w:rPr>
              <w:t>5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16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-84" w:righ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Tomograf umożliwiający:</w:t>
            </w:r>
          </w:p>
          <w:p w:rsidR="005E6A7B" w:rsidRPr="005E6A7B" w:rsidRDefault="005E6A7B" w:rsidP="009C7781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badania klatki piersiowej, kręgosłupa, jamy brzusznej i miednicy wraz z wielofazowymi badaniami narządów tych obszarów anatomicznych,</w:t>
            </w:r>
          </w:p>
          <w:p w:rsidR="005E6A7B" w:rsidRPr="005E6A7B" w:rsidRDefault="005E6A7B" w:rsidP="009C7781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badania naczyń domózgowych, wewnątrzczaszkowych, dużych naczyń oraz naczyń obwodowych,</w:t>
            </w:r>
          </w:p>
          <w:p w:rsidR="005E6A7B" w:rsidRPr="005E6A7B" w:rsidRDefault="005E6A7B" w:rsidP="009C7781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- akwizycję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submilimetrową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niewielkich struktur anatomicznych</w:t>
            </w:r>
          </w:p>
          <w:p w:rsidR="005E6A7B" w:rsidRPr="005E6A7B" w:rsidRDefault="005E6A7B" w:rsidP="009C7781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badania wielonarządowe w zakresie min. 140 cm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9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-84" w:righ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</w:tabs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Certyfikaty i świadectwa dla tomografu komputerowego:</w:t>
            </w:r>
          </w:p>
          <w:p w:rsidR="005E6A7B" w:rsidRPr="005E6A7B" w:rsidRDefault="005E6A7B" w:rsidP="009C7781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</w:tabs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deklaracja zgodności dla oferowanego typu tomografu,</w:t>
            </w:r>
          </w:p>
          <w:p w:rsidR="005E6A7B" w:rsidRPr="005E6A7B" w:rsidRDefault="005E6A7B" w:rsidP="009C7781">
            <w:pPr>
              <w:pStyle w:val="AbsatzTableFormat"/>
              <w:snapToGrid w:val="0"/>
              <w:spacing w:line="240" w:lineRule="auto"/>
              <w:ind w:left="35"/>
              <w:rPr>
                <w:rFonts w:ascii="Arial" w:eastAsia="Times New Roman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eastAsia="pl-PL"/>
              </w:rPr>
              <w:t>- zgłoszenie do rejestru wyrobów medycznych oferowanego typu tomografu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6566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9C7781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II. GANTRY i STÓŁ</w:t>
            </w:r>
          </w:p>
        </w:tc>
      </w:tr>
      <w:tr w:rsidR="005E6A7B" w:rsidRPr="005E6A7B" w:rsidTr="005E6A7B">
        <w:trPr>
          <w:trHeight w:val="32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Średnica otworu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gantry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[cm]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≥</w:t>
            </w:r>
            <w:r w:rsidRPr="005E6A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3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lef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Maksymalne obciążenie stołu z zachowaniem pr</w:t>
            </w:r>
            <w:r w:rsidR="00926A5B">
              <w:rPr>
                <w:rFonts w:ascii="Arial" w:hAnsi="Arial" w:cs="Arial"/>
                <w:sz w:val="18"/>
                <w:szCs w:val="18"/>
              </w:rPr>
              <w:t xml:space="preserve">ecyzji pozycjonowania ± 0,25mm 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≥</w:t>
            </w:r>
            <w:r w:rsidRPr="005E6A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205 kg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205-220 kg – 0 pkt</w:t>
            </w:r>
          </w:p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&gt; 220 – 5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3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Kamera do obserwacji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zachowań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pacjenta, z funkcją zbliżenia widoku (może być zamontowana z boku, mocowana w pomieszczeniu badań)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F0268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F0268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4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Wyposażenie stołu w:</w:t>
            </w:r>
          </w:p>
          <w:p w:rsidR="005E6A7B" w:rsidRPr="005E6A7B" w:rsidRDefault="005E6A7B" w:rsidP="00926A5B">
            <w:pPr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materac,</w:t>
            </w:r>
          </w:p>
          <w:p w:rsidR="005E6A7B" w:rsidRPr="005E6A7B" w:rsidRDefault="005E6A7B" w:rsidP="00926A5B">
            <w:pPr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podpórkę pod głowę pozbawioną elementów metalowych,</w:t>
            </w:r>
          </w:p>
          <w:p w:rsidR="005E6A7B" w:rsidRPr="005E6A7B" w:rsidRDefault="005E6A7B" w:rsidP="00926A5B">
            <w:pPr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 xml:space="preserve">- pasy lub listwy unieruchamiające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4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Dwa wskaźniki zatrzymania oddechu wyposażone w liczniki czasu widoczne dla pacjenta podczas badania niezależnie od kierunku wprowadzenia pacjenta do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gantry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TAK/NIE</w:t>
            </w:r>
          </w:p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5 pkt</w:t>
            </w:r>
          </w:p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4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Automatyczne pozycjonowanie pacjenta do wybranego punktu (min</w:t>
            </w:r>
            <w:r w:rsidR="00926A5B">
              <w:rPr>
                <w:rFonts w:ascii="Arial" w:hAnsi="Arial" w:cs="Arial"/>
                <w:sz w:val="18"/>
                <w:szCs w:val="18"/>
              </w:rPr>
              <w:t>.</w:t>
            </w:r>
            <w:r w:rsidRPr="005E6A7B">
              <w:rPr>
                <w:rFonts w:ascii="Arial" w:hAnsi="Arial" w:cs="Arial"/>
                <w:sz w:val="18"/>
                <w:szCs w:val="18"/>
              </w:rPr>
              <w:t xml:space="preserve"> 3 jednoczasowe dostępne pozycje na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gantry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lub tablecie dotykowym)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TAK/NIE</w:t>
            </w:r>
          </w:p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5 pkt</w:t>
            </w:r>
          </w:p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5AAB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 xml:space="preserve">III. </w:t>
            </w:r>
            <w:r w:rsidRPr="00B16566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  <w:lang w:val="sv-SE"/>
              </w:rPr>
              <w:t>GENERATOR I LAMPA RTG</w:t>
            </w:r>
          </w:p>
        </w:tc>
      </w:tr>
      <w:tr w:rsidR="005E6A7B" w:rsidRPr="005E6A7B" w:rsidTr="005E6A7B">
        <w:trPr>
          <w:trHeight w:val="47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Minimalne napięcie anody, możliwe do zastosowania w protokołach badań [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kV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≤ 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Modulacja prądu anody w czasie rzeczywistym, jednocześnie w osiach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x,y,z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Maksymalny prąd lampy dostępny w protokole badania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≥ 350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- 399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="00926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sz w:val="18"/>
                <w:szCs w:val="18"/>
              </w:rPr>
              <w:t>– 0 pkt</w:t>
            </w:r>
          </w:p>
          <w:p w:rsidR="005E6A7B" w:rsidRPr="005E6A7B" w:rsidRDefault="005E6A7B" w:rsidP="00BF026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≥ 400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– 10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C938AB">
            <w:pPr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Maksymalne napięcie anody w protokole badania </w:t>
            </w:r>
            <w:r w:rsidRPr="008829F8">
              <w:rPr>
                <w:rFonts w:ascii="Arial" w:hAnsi="Arial" w:cs="Arial"/>
                <w:sz w:val="18"/>
                <w:szCs w:val="18"/>
              </w:rPr>
              <w:t>min. 1</w:t>
            </w:r>
            <w:r w:rsidR="00DB3DD5" w:rsidRPr="008829F8">
              <w:rPr>
                <w:rFonts w:ascii="Arial" w:hAnsi="Arial" w:cs="Arial"/>
                <w:sz w:val="18"/>
                <w:szCs w:val="18"/>
              </w:rPr>
              <w:t>3</w:t>
            </w:r>
            <w:r w:rsidRPr="008829F8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Pr="008829F8">
              <w:rPr>
                <w:rFonts w:ascii="Arial" w:hAnsi="Arial" w:cs="Arial"/>
                <w:sz w:val="18"/>
                <w:szCs w:val="18"/>
              </w:rPr>
              <w:t>kV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Rzeczywista pojemność cieplna anody lampy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rtg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[MHU]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41741" w:rsidRDefault="00541741" w:rsidP="00227862">
            <w:pPr>
              <w:snapToGrid w:val="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541741">
              <w:rPr>
                <w:rFonts w:ascii="Arial" w:hAnsi="Arial" w:cs="Arial"/>
                <w:sz w:val="18"/>
                <w:szCs w:val="18"/>
                <w:highlight w:val="cyan"/>
              </w:rPr>
              <w:t>≥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1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Liczba ognisk lampy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rtg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1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8829F8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 xml:space="preserve">Powierzchnia małego ogniska lampy </w:t>
            </w:r>
            <w:proofErr w:type="spellStart"/>
            <w:r w:rsidRPr="008829F8">
              <w:rPr>
                <w:rFonts w:ascii="Arial" w:hAnsi="Arial" w:cs="Arial"/>
                <w:sz w:val="18"/>
                <w:szCs w:val="18"/>
              </w:rPr>
              <w:t>rtg</w:t>
            </w:r>
            <w:proofErr w:type="spellEnd"/>
            <w:r w:rsidRPr="008829F8">
              <w:rPr>
                <w:rFonts w:ascii="Arial" w:hAnsi="Arial" w:cs="Arial"/>
                <w:sz w:val="18"/>
                <w:szCs w:val="18"/>
              </w:rPr>
              <w:t xml:space="preserve"> [mm²] 0,4 – 0,5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8829F8" w:rsidRDefault="005E6A7B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>Tak, podać:</w:t>
            </w:r>
          </w:p>
          <w:p w:rsidR="005E6A7B" w:rsidRPr="008829F8" w:rsidRDefault="00DB3DD5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5E6A7B" w:rsidRPr="008829F8">
              <w:rPr>
                <w:rFonts w:ascii="Arial" w:hAnsi="Arial" w:cs="Arial"/>
                <w:sz w:val="18"/>
                <w:szCs w:val="18"/>
              </w:rPr>
              <w:t>0,40 – 6 pkt</w:t>
            </w:r>
          </w:p>
          <w:p w:rsidR="005E6A7B" w:rsidRPr="008829F8" w:rsidRDefault="005E6A7B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>0,42 – 5 pkt</w:t>
            </w:r>
          </w:p>
          <w:p w:rsidR="005E6A7B" w:rsidRPr="008829F8" w:rsidRDefault="005E6A7B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>0,44 – 4 pkt</w:t>
            </w:r>
          </w:p>
          <w:p w:rsidR="005E6A7B" w:rsidRPr="008829F8" w:rsidRDefault="005E6A7B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>0,46 – 3 pkt</w:t>
            </w:r>
          </w:p>
          <w:p w:rsidR="005E6A7B" w:rsidRPr="008829F8" w:rsidRDefault="005E6A7B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>0,48 – 2 pkt</w:t>
            </w:r>
          </w:p>
          <w:p w:rsidR="005E6A7B" w:rsidRPr="008829F8" w:rsidRDefault="005E6A7B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>0,50 – 1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5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8829F8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 xml:space="preserve">Szybkość chłodzenia lampy min. 500 </w:t>
            </w:r>
            <w:proofErr w:type="spellStart"/>
            <w:r w:rsidRPr="008829F8">
              <w:rPr>
                <w:rFonts w:ascii="Arial" w:hAnsi="Arial" w:cs="Arial"/>
                <w:sz w:val="18"/>
                <w:szCs w:val="18"/>
              </w:rPr>
              <w:t>kHU</w:t>
            </w:r>
            <w:proofErr w:type="spellEnd"/>
            <w:r w:rsidRPr="008829F8">
              <w:rPr>
                <w:rFonts w:ascii="Arial" w:hAnsi="Arial" w:cs="Arial"/>
                <w:sz w:val="18"/>
                <w:szCs w:val="18"/>
              </w:rPr>
              <w:t>/min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8829F8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>Tak, podać:</w:t>
            </w:r>
          </w:p>
          <w:p w:rsidR="005E6A7B" w:rsidRPr="008829F8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>800-700 – 10 pkt</w:t>
            </w:r>
          </w:p>
          <w:p w:rsidR="005E6A7B" w:rsidRPr="008829F8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>699-600 – 5 pkt</w:t>
            </w:r>
          </w:p>
          <w:p w:rsidR="005E6A7B" w:rsidRPr="008829F8" w:rsidRDefault="005E6A7B" w:rsidP="005B2D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>599-500 – 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5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91C20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8829F8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 xml:space="preserve">Automatyczny wybór ognisk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8829F8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5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91C20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8829F8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>Maksymalna moc generatora min. 40KW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8829F8" w:rsidRDefault="005E6A7B" w:rsidP="00C938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>≥ 40-45 kW – 0 pkt</w:t>
            </w:r>
          </w:p>
          <w:p w:rsidR="005E6A7B" w:rsidRPr="008829F8" w:rsidRDefault="005E6A7B" w:rsidP="00C938A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9F8">
              <w:rPr>
                <w:rFonts w:ascii="Arial" w:hAnsi="Arial" w:cs="Arial"/>
                <w:sz w:val="18"/>
                <w:szCs w:val="18"/>
              </w:rPr>
              <w:t>&gt; 45 kW – 5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C938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5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064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Odległość ognisko lampy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rtg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– detektor</w:t>
            </w:r>
            <w:r w:rsidRPr="008829F8">
              <w:rPr>
                <w:rFonts w:ascii="Arial" w:hAnsi="Arial" w:cs="Arial"/>
                <w:sz w:val="18"/>
                <w:szCs w:val="18"/>
              </w:rPr>
              <w:t>, max 10</w:t>
            </w:r>
            <w:r w:rsidR="0050645C" w:rsidRPr="008829F8">
              <w:rPr>
                <w:rFonts w:ascii="Arial" w:hAnsi="Arial" w:cs="Arial"/>
                <w:sz w:val="18"/>
                <w:szCs w:val="18"/>
              </w:rPr>
              <w:t>4</w:t>
            </w:r>
            <w:r w:rsidRPr="008829F8">
              <w:rPr>
                <w:rFonts w:ascii="Arial" w:hAnsi="Arial" w:cs="Arial"/>
                <w:sz w:val="18"/>
                <w:szCs w:val="18"/>
              </w:rPr>
              <w:t xml:space="preserve"> cm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91C20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Tak, p</w:t>
            </w:r>
            <w:bookmarkStart w:id="0" w:name="_GoBack"/>
            <w:bookmarkEnd w:id="0"/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odać:</w:t>
            </w:r>
          </w:p>
          <w:p w:rsidR="005E6A7B" w:rsidRPr="005E6A7B" w:rsidRDefault="005E6A7B" w:rsidP="00991C20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≤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95 – 10 pkt</w:t>
            </w:r>
          </w:p>
          <w:p w:rsidR="005E6A7B" w:rsidRDefault="008829F8" w:rsidP="00991C20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9F8"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  <w:t>96</w:t>
            </w:r>
            <w:r w:rsidR="005E6A7B" w:rsidRPr="005E6A7B">
              <w:rPr>
                <w:rFonts w:ascii="Arial" w:hAnsi="Arial" w:cs="Arial"/>
                <w:color w:val="000000"/>
                <w:sz w:val="18"/>
                <w:szCs w:val="18"/>
              </w:rPr>
              <w:t>-100cm – 5 pkt</w:t>
            </w:r>
          </w:p>
          <w:p w:rsidR="0050645C" w:rsidRPr="005E6A7B" w:rsidRDefault="0050645C" w:rsidP="00991C20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9F8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&gt; </w:t>
            </w:r>
            <w:r w:rsidRPr="0081312F">
              <w:rPr>
                <w:rFonts w:ascii="Arial" w:hAnsi="Arial" w:cs="Arial"/>
                <w:color w:val="000000"/>
                <w:sz w:val="18"/>
                <w:szCs w:val="18"/>
                <w:highlight w:val="cyan"/>
                <w:lang w:eastAsia="ar-SA"/>
              </w:rPr>
              <w:t>10</w:t>
            </w:r>
            <w:r w:rsidR="0081312F" w:rsidRPr="0081312F">
              <w:rPr>
                <w:rFonts w:ascii="Arial" w:hAnsi="Arial" w:cs="Arial"/>
                <w:color w:val="000000"/>
                <w:sz w:val="18"/>
                <w:szCs w:val="18"/>
                <w:highlight w:val="cyan"/>
                <w:lang w:eastAsia="ar-SA"/>
              </w:rPr>
              <w:t>1</w:t>
            </w:r>
            <w:r w:rsidRPr="008829F8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-104 – 0 pkt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91C20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6A7B" w:rsidRPr="005E6A7B" w:rsidTr="00B16566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IV. SYSTEM SKANOWANIA</w:t>
            </w:r>
          </w:p>
        </w:tc>
      </w:tr>
      <w:tr w:rsidR="005E6A7B" w:rsidRPr="005E6A7B" w:rsidTr="005E6A7B">
        <w:trPr>
          <w:trHeight w:val="47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23.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Najkrótszy czas pełnego 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 xml:space="preserve">obrotu (360º) układu lampa </w:t>
            </w:r>
            <w:proofErr w:type="spellStart"/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rtg</w:t>
            </w:r>
            <w:proofErr w:type="spellEnd"/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detektor [s]  </w:t>
            </w:r>
            <w:r w:rsidRPr="005E6A7B">
              <w:rPr>
                <w:rFonts w:ascii="Arial" w:hAnsi="Arial" w:cs="Arial"/>
                <w:sz w:val="18"/>
                <w:szCs w:val="18"/>
              </w:rPr>
              <w:t>≤ 0,8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0,6 - 0,8 – 0 pkt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≤ 0,5 – 10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7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Grubość najcieńszej dostępnej warstwy  z akwizycji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wielowarstowej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z maksymalną ilością warstw [mm]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≤ 0,63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7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Liczba warstw akwizycyjnych powyżej 1 mm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 warstwy – 0 pkt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16 warstw – 10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28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Maksymalny zakres badania przy ciągłym skanie spiralnym/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helikalnym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>, bez przerwy na chłodzenie lampy [cm]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3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Maksymalny zakres zmian wartość współczynnika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pitch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min. 1,5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≥1,5 – 1,74</w:t>
            </w:r>
            <w:r w:rsidR="00926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sz w:val="18"/>
                <w:szCs w:val="18"/>
              </w:rPr>
              <w:t>– 0 pkt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≥1,75</w:t>
            </w:r>
            <w:r w:rsidR="00926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sz w:val="18"/>
                <w:szCs w:val="18"/>
              </w:rPr>
              <w:t>– 5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4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Maksymalne, rekonstruowane pole obrazowania FOV [cm]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4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Możliwość rekonstrukcji diagnostycznego pola obrazowania powyżej 50 cm z zachowaniem pełnej jednorodności i dokładności gęstości jak w polu diagnostycznym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Tak/Nie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5 pkt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1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Matryca rekonstrukcyjna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Min. 512x512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1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Matryca prezentacyjna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Min. 1024x1024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Rozdzielczość wysokokontrastowa w płaszczyźnie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x,y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>, mierzona w polu akwizycyjnym FOV=50 cm w punkcie 50% charakterystyki MTF.[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pl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>/cm]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≥ 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B2D9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Maksymalny możliwy czas badania w trybie spiralnym 120 [s]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B2D9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Kolimacja wiązki zgodnie z polem skanowania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Niskodawkowy</w:t>
            </w:r>
            <w:proofErr w:type="spellEnd"/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, iteracyjny algorytm rekonstrukcji bazujący na modelu z wielokrotnym przetwarzaniem tych samych danych surowych (RAW) oraz redukujący szum w obszarze obrazu, umożliwiający redukcję dawki o co najmniej 40% w relacji do standardowej metody rekonstrukcji wstecznej FBP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 xml:space="preserve">Rozwiązanie do redukcji promieniowania jonizującego, dedykowane do zwiększenia ochrony w trakcie badania szczególnie wrażliwych narządów np. oczu, tarczycy, piersi, itp.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6566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V. KONSOLA OPERATORSKA</w:t>
            </w:r>
          </w:p>
        </w:tc>
      </w:tr>
      <w:tr w:rsidR="005E6A7B" w:rsidRPr="005E6A7B" w:rsidTr="005E6A7B">
        <w:trPr>
          <w:trHeight w:val="42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5B2D97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37.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Stanowisko operatorskie – konsola akwizycyjna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Jednomonitorowa – 0 pkt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Dwumonitorowa </w:t>
            </w:r>
            <w:r w:rsidR="00926A5B" w:rsidRPr="005E6A7B">
              <w:rPr>
                <w:rFonts w:ascii="Arial" w:hAnsi="Arial" w:cs="Arial"/>
                <w:sz w:val="18"/>
                <w:szCs w:val="18"/>
              </w:rPr>
              <w:t>–</w:t>
            </w:r>
            <w:r w:rsidR="00926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sz w:val="18"/>
                <w:szCs w:val="18"/>
              </w:rPr>
              <w:t>5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>38.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Przekątna kolorowego monitora z aktywną matrycą ciekłokrystaliczną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19 "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19 " – 0 pkt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21 " – 1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Możliwość wybrania i protokołu badania bezpośrednio przy stole pacjenta, z panelu dotykowego na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gantry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lub z tabletu.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5 pkt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9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Pojemność dysku twardego dla obrazów bez kompresji (512x512), wyrażona liczbą obrazów.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250000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9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Bezpośrednia rekonstrukcja warstw MPR bez konieczności wstępnej rekonstrukcji cienkich warstw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aksjalnych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4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Archiwizacja badań pacjentów na CD-R i DVD w standardzie DICOM 3.0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4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Dwukierunkowy interkom do komunikacji głosowej z pacjentem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143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Interfejs sieciowy zgodnie z DICOM 3.0 z następującymi klasami serwisowymi:                                                                 </w:t>
            </w:r>
          </w:p>
          <w:p w:rsidR="005E6A7B" w:rsidRPr="005E6A7B" w:rsidRDefault="005E6A7B" w:rsidP="002278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en-US"/>
              </w:rPr>
              <w:t xml:space="preserve">- Send/Receive                                                                             </w:t>
            </w:r>
          </w:p>
          <w:p w:rsidR="005E6A7B" w:rsidRPr="005E6A7B" w:rsidRDefault="005E6A7B" w:rsidP="002278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en-US"/>
              </w:rPr>
              <w:t xml:space="preserve">- Basic Print                                                                                  </w:t>
            </w:r>
          </w:p>
          <w:p w:rsidR="005E6A7B" w:rsidRPr="005E6A7B" w:rsidRDefault="005E6A7B" w:rsidP="002278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en-US"/>
              </w:rPr>
              <w:t xml:space="preserve">- Query/ Retrieve </w:t>
            </w:r>
          </w:p>
          <w:p w:rsidR="005E6A7B" w:rsidRPr="005E6A7B" w:rsidRDefault="005E6A7B" w:rsidP="002278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en-US"/>
              </w:rPr>
              <w:t xml:space="preserve">- Storage Commitment  </w:t>
            </w:r>
          </w:p>
          <w:p w:rsidR="005E6A7B" w:rsidRPr="005E6A7B" w:rsidRDefault="005E6A7B" w:rsidP="00227862">
            <w:pPr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Worklist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143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Integracja z oprogramowaniem PAKS szpitalnym (MEDICOM – szpital posiada licencję), koszty tylko dotyczące integracji po stronie Dostawcy urządzenia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6566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09721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VI. OPROGRAMOWANIE KONSOLI OPERATORSKIEJ</w:t>
            </w: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5B2D97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46.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MIP (Maximum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Intensity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Projection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47.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SSD (Surface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Shaded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Display)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VRT (Volume Rendering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Techique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7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Rekonstrukcje MPR (również skośne i krzywoliniowe z danych zbieranych przy dowolnym kącie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gantry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>50.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Prezentacje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cine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Pomiary geometryczne (długości / kątów / powierzchni / objętości)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Pomiary analityczne (pomiar poziomu gęstości, profile gęstości, analiza skanu dynamicznego)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autoSpaceDE w:val="0"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Obliczanie całkowitej dawki ekspozycyjnej (DLP lub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CTDIvol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>), jaką uzyskał pacjent w trakcie badania i jej prezentacja na ekranie konsoli operatorskiej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Wielozadaniowość / wielodostęp, w tym możliwość automatycznej rekonstrukcji, archiwizacji i dokumentacji w tle (w trakcie skanowania)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28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do synchronizacji startu badania spiralnego na podstawie automatycznej analizy napływu środka cieniującego w zadanej warstwie bez wykonywania wstrzyknięć testowych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Kompletny zestaw protokołów do badania wszystkich obszarów anatomicznych, z możliwością ich projektowania i zapamiętywania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Automatyczne, bez udziału operatora, ustawianie zakresu badania, dla danego pacjenta, na podstawie znaczników anatomicznych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topogramu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i wybranego protokołu badania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10 pkt</w:t>
            </w:r>
          </w:p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usuwające obraz struktury kostnej i stołu z pozostawieniem struktury naczyniowej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do wirtualnej endoskopii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Automatyczne alarmowanie obsługi o możliwości przekroczenia dawki referencyjnej w danym badaniu (przed wykonaniem badania).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Sprzężenie tomografu ze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wstrzykiwaczem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kontrastu min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kl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I zgodnie z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CanOpen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425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Kl.I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i II – 0 pkt</w:t>
            </w:r>
          </w:p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Kl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III – 5 pkt</w:t>
            </w:r>
          </w:p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Kl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IV – 10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6566">
        <w:trPr>
          <w:trHeight w:val="481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sz w:val="18"/>
                <w:szCs w:val="18"/>
              </w:rPr>
              <w:t>VII. POZOSTAŁE WYMAGANIA</w:t>
            </w:r>
          </w:p>
        </w:tc>
      </w:tr>
      <w:tr w:rsidR="005E6A7B" w:rsidRPr="005E6A7B" w:rsidTr="005E6A7B">
        <w:trPr>
          <w:trHeight w:val="29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62.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Dwutłokowy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wstrzykiwacz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środka cieniującego zintegrowany z tomografem komputerowym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29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63.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Zestaw firmowych fantomów serwisowych do kalibracji i testów podstawowych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7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lastRenderedPageBreak/>
              <w:t>64.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Instrukcja obsługi aparatu TK w formie elektronicznej i papierowej oraz instrukcje obsługi urządzeń wyposażenia - w języku polskim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Dostarczyć wraz z dostawą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4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Moc podłączeniowa [kVA]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2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Ilość ciepła emitowana do pomieszczenia badań w trakcie skanowania [kW]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98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Zakres temperatur pracy systemu [stopnie C]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Wykonanie testów akceptacyjnych po zainstalowaniu urządzenia – </w:t>
            </w:r>
            <w:r w:rsidRPr="005E6A7B">
              <w:rPr>
                <w:rFonts w:ascii="Arial" w:hAnsi="Arial" w:cs="Arial"/>
                <w:bCs/>
                <w:sz w:val="18"/>
                <w:szCs w:val="18"/>
              </w:rPr>
              <w:t>zawarte w cenie oferty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B2D97">
            <w:pPr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Wykonawca dostarczy, zainstaluje system do archiwizacji i optymalizacji dawki promieniowania (wraz ze szkoleniem personelu Zamawiającego).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z licencjami bezterminowymi do monitorowania i raportowania poziomu dawek z tomografu komputerowego z możliwością podłączenia aparatu RTG, pozwalające na spełnienie dyrektywy EURATOM 2013/59 z 5 grudnia 2013 opisane w punktach poniżej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analizę statystyczną poziomu dawek – automatyczne powiadamianie w przypadku przekroczenia poziomu dopuszczalnych dawek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do monitorowania i optymalizacji kontrastu umożliwiającą gromadzenie informacji dotyczącej zużycia kontrastu w badaniu oraz tworzące automatyczne raporty dotyczące np. skumulowanej dawki jodu dla danego pacjenta.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porównywanie dawek z tomografu z dawkami dla określonej populacji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przeglądanie historii dawki w rozbiciu na: pacjentów/regiony anatomiczne/rodzaje badań RTG/osobę przeprowadzającą badanie/zmiany pracy zespołu pracowni TK (np. poranna, popołudniowa, wieczorna itd.)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ostrzeżenie o przekroczeniu progu zdefiniowanej dawki, które jest:</w:t>
            </w:r>
          </w:p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a) wysyłane w czasie rzeczywistym w trakcie badania na adresy poczty elektronicznej wpisanej na listę mailingową oprogramowania.</w:t>
            </w:r>
          </w:p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b) możliwość wyjaśnienia przekroczenia dawki w formie komentarza również zapisywanego w archiwum.</w:t>
            </w:r>
          </w:p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c) zaawansowany system ostrzegania w podziale na segmenty według wieku/BMI/ itd. i możliwość korzystania z międzynarodowego leksykonu (np.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RadLexicon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>), aby otrzymać znormalizowaną informację potrzebną do porównań.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Oprogramowanie umożliwiające wyliczenie SSDE (ang.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Size-Specific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Dose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Estimate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– szacunkowa wielkość dawki zależna od rozmiaru).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Oprogramowanie umożliwiające wyliczenie przesunięcia poza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izocentrum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>, które umożliwia weryfikację prawidłowości ułożenia pacjenta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Oprogramowanie umożliwiające wyliczenie wartości modulacji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. Modulacja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wyświetla tłumienie natężenia prądu na całej długości skanowania. Wyliczenie powinno zawierć średnią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, minimalną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i maksymalną wartość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w trakcie wybranej serii.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>79.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automatyczne sporządzanie raportów tygodniowych/ miesięcznych/ kwartalnych ze zgromadzonych danych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do oszacowania dawki narządowej dla pacjentów pediatrycznych i dorosłych wraz z automatycznym wykrywaniem skanowanego obszaru i obliczeniem dawki przyjmowanej przez narządy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do oszacowania dawki dla płodu  przypadku badań kobiet w ciąży.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6566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VIII. SZKOLENIA</w:t>
            </w: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Szkolenia w miejscu + min. 2 dni x 5 godzin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5AAB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IX. </w:t>
            </w:r>
            <w:r w:rsidRPr="00B16566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GWARANCJA I SERWIS POGWARANCYJNY</w:t>
            </w:r>
          </w:p>
        </w:tc>
      </w:tr>
      <w:tr w:rsidR="005E6A7B" w:rsidRPr="005E6A7B" w:rsidTr="00B16566">
        <w:trPr>
          <w:trHeight w:val="52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pStyle w:val="Style9"/>
              <w:widowControl/>
              <w:spacing w:line="24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Okres gwarancji od dnia podpisania protokołu zdawczo odbiorczego.</w:t>
            </w:r>
          </w:p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Gwarancja bezwarunkowa, bez limitu skanów i innych ograniczeń, co najmniej 24 miesięcy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Autoryzowany serwis gwarancyjny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Min. 10 – letni okres gwarantowania dostępności części zamiennych dla TK oraz min. 5 – letni dla pozostałych urządzeń i stanowisk pracy zaoferowanych w zestawie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ind w:left="211" w:right="2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ind w:left="211" w:right="2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Wszystkie wymagane przez producenta oferowanego aparatu przeglądy w okresie gwarancji (podać ile) – </w:t>
            </w:r>
            <w:r w:rsidRPr="005E6A7B">
              <w:rPr>
                <w:rFonts w:ascii="Arial" w:hAnsi="Arial" w:cs="Arial"/>
                <w:bCs/>
                <w:sz w:val="18"/>
                <w:szCs w:val="18"/>
              </w:rPr>
              <w:t>zawarte w cenie oferty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Czas naprawy gwarancyjnej [dni robocze: od poniedziałku do piątku z wyłączeniem dni ustawowo wolnych pracy]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Max. 6 dni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Czas reakcji serwisu od zgłoszenia do podjęcia naprawy [godziny w dni robocze :od poniedziałku do piątku z wyłączeniem dni ustawowo wolnych pracy]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Max. 24 godzin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5AAB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ab/>
            </w:r>
            <w:r w:rsidRPr="00B1656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D9D9D9" w:themeFill="background1" w:themeFillShade="D9"/>
                <w:lang w:eastAsia="ar-SA"/>
              </w:rPr>
              <w:t>X. KONSOLA LEKARSKA DWUMONITOROWA</w:t>
            </w: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D5A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Stacja przeglądowa 2D i 3D (MPR i VRT) z oprogramowaniem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Osirix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lub równoważnym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tzn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posiadającym co najmniej te same funkcjonalności użytkowe. –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autoSpaceDE w:val="0"/>
              <w:autoSpaceDN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lokalna baza obrazów medycznych: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° baza danych oparta o „silnik”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SQLite</w:t>
            </w:r>
            <w:proofErr w:type="spellEnd"/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zarządzanie dowolną ilością obrazów medycznych (przechowywanych lokalnie i zdalnie)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udostępnianie lokalnej bazy danych w sieci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import plików z dowolnego nośnika (CD, DVD, USB, sieć, serwery PACS)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eksport i zapis plików na dowolny nośnik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°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anonimizacja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danych - usuwanie danych pacjenta z plików DICOM (np. do celów pokazowych)</w:t>
            </w:r>
          </w:p>
          <w:p w:rsidR="005E6A7B" w:rsidRPr="005E6A7B" w:rsidRDefault="005E6A7B" w:rsidP="00B650E6">
            <w:pPr>
              <w:pStyle w:val="Standard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° edycja metadanych - edycja danych zapisanych w plikach DICOM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>91.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autoSpaceDE w:val="0"/>
              <w:autoSpaceDN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° Intuicyjny interfejs użytkownika – 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konfigurowalny pasek narzędzi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obsługa obrazów kluczowych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° wsparcie dla myszy wieloklawiszowych i gestów np. Apple Magic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Trackpad</w:t>
            </w:r>
            <w:proofErr w:type="spellEnd"/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obsługa tablic odwzorowania barwy (LUT/CLUT) i gęstości (WL/WH)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obsługa filtrów splotowych (3x3, 5x5)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° łączenie badań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róznych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obszarów (image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registration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przebudowa przekrojów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dowolna konfiguracja, zapisywanie i wczytywanie przestrzeni roboczych (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Workspaces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>), np. dla różnego typu badań</w:t>
            </w:r>
          </w:p>
          <w:p w:rsidR="005E6A7B" w:rsidRPr="005E6A7B" w:rsidRDefault="005E6A7B" w:rsidP="007D5A01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wygodna praca na wielu monitorach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autoSpaceDE w:val="0"/>
              <w:autoSpaceDN w:val="0"/>
              <w:rPr>
                <w:rFonts w:ascii="Arial" w:eastAsiaTheme="minorHAnsi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iCs/>
                <w:sz w:val="18"/>
                <w:szCs w:val="18"/>
              </w:rPr>
              <w:t>Rekonstrukcja 3D: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rekonstrukcja objętościowa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rekonstrukcja powierzchni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rekonstrukcja wielopłaszczyznowa (MPR)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zakrzywiona rekonstrukcja wielopłaszczyznowa (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Curved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MPR)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maksymalna/minimalna intensywność projekcji (MIP)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wirtualna endoskopia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tworzenie wycinków i przekrojów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separacja tkanek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oznaczanie różnymi barwami i przezroczystością organów i tkanek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przelot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eksport do różnych formatów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autoSpaceDE w:val="0"/>
              <w:autoSpaceDN w:val="0"/>
              <w:rPr>
                <w:rFonts w:ascii="Arial" w:eastAsiaTheme="minorHAnsi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iCs/>
                <w:sz w:val="18"/>
                <w:szCs w:val="18"/>
              </w:rPr>
              <w:t>Architektura Plug-</w:t>
            </w:r>
            <w:proofErr w:type="spellStart"/>
            <w:r w:rsidRPr="005E6A7B">
              <w:rPr>
                <w:rFonts w:ascii="Arial" w:hAnsi="Arial" w:cs="Arial"/>
                <w:iCs/>
                <w:sz w:val="18"/>
                <w:szCs w:val="18"/>
              </w:rPr>
              <w:t>ins</w:t>
            </w:r>
            <w:proofErr w:type="spellEnd"/>
            <w:r w:rsidRPr="005E6A7B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° możliwość implementacji rozwiązań dostarczanych przez niezależnych producentów rozszerzających funkcje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OsiriX’a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(moduły dodatkowe, np. automatyzacja oceny zwapnienia naczyń wieńcowych, automatyzacja badań mammograficznych, ocena BI-RADS/PI-RADS,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angiografia, obsługa dodatkowych formatów zapisu obrazów medycznych,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iCs/>
                <w:sz w:val="18"/>
                <w:szCs w:val="18"/>
              </w:rPr>
              <w:t>Inne: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optymalizacja dla procesorów wielordzeniowych, wielowątkowość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odczyt asynchroniczny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° wsparcie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OpenGL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dla podglądu 2D i 3D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akceleracja GPU dla zadań obliczeniowych, wsparcie mapowania 3D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architektura wtyczek rozszerzających możliwości oprogramowania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wsparcie „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hanging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E6A7B">
              <w:rPr>
                <w:rFonts w:ascii="Arial" w:hAnsi="Arial" w:cs="Arial"/>
                <w:sz w:val="18"/>
                <w:szCs w:val="18"/>
              </w:rPr>
              <w:t>protocol</w:t>
            </w:r>
            <w:proofErr w:type="spellEnd"/>
            <w:r w:rsidRPr="005E6A7B">
              <w:rPr>
                <w:rFonts w:ascii="Arial" w:hAnsi="Arial" w:cs="Arial"/>
                <w:sz w:val="18"/>
                <w:szCs w:val="18"/>
              </w:rPr>
              <w:t>” - aranżacja okien programu dla najlepszej oceny istotnych elementów badania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autoSpaceDE w:val="0"/>
              <w:autoSpaceDN w:val="0"/>
              <w:rPr>
                <w:rFonts w:ascii="Arial" w:eastAsiaTheme="minorHAnsi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iCs/>
                <w:sz w:val="18"/>
                <w:szCs w:val="18"/>
              </w:rPr>
              <w:t>Dwa monitory medyczne przeznaczone do wyświetlania badań RTG/CT/MR o przekątnej nie mniej niż 21 cali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iCs/>
                <w:sz w:val="18"/>
                <w:szCs w:val="18"/>
              </w:rPr>
              <w:t>Rozdzielczość nie mniejsza niż 5120 na 2880 z możliwością wyświetlania miliarda kolorów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iCs/>
                <w:sz w:val="18"/>
                <w:szCs w:val="18"/>
              </w:rPr>
              <w:t>Jasność 500 nitów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984B5D" w:rsidRPr="005E6A7B" w:rsidRDefault="00984B5D" w:rsidP="00227862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984B5D" w:rsidRPr="005E6A7B" w:rsidRDefault="00984B5D" w:rsidP="00227862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E6A7B" w:rsidRPr="005E6A7B" w:rsidRDefault="005E6A7B" w:rsidP="005E6A7B">
      <w:pPr>
        <w:pStyle w:val="normaltableau"/>
        <w:suppressAutoHyphens/>
        <w:spacing w:before="0" w:after="0" w:line="360" w:lineRule="auto"/>
        <w:ind w:left="-284" w:right="-284"/>
        <w:rPr>
          <w:rFonts w:ascii="Arial" w:hAnsi="Arial" w:cs="Arial"/>
          <w:sz w:val="18"/>
          <w:szCs w:val="18"/>
          <w:lang w:val="pl-PL" w:eastAsia="ar-SA"/>
        </w:rPr>
      </w:pPr>
      <w:r w:rsidRPr="005E6A7B">
        <w:rPr>
          <w:rFonts w:ascii="Arial" w:hAnsi="Arial" w:cs="Arial"/>
          <w:sz w:val="18"/>
          <w:szCs w:val="18"/>
          <w:lang w:val="pl-PL" w:eastAsia="ar-SA"/>
        </w:rPr>
        <w:t>Oświadczam, że oferowany sprzęt jest kompletny i po zainstalowaniu gotowy do eksploatacji, bez żadnych dodatkowych zakupów i inwestycji (z wyjątkiem materiałów eksploatacyjnych).</w:t>
      </w:r>
    </w:p>
    <w:p w:rsidR="005E6A7B" w:rsidRPr="005E6A7B" w:rsidRDefault="005E6A7B" w:rsidP="005E6A7B">
      <w:pPr>
        <w:pStyle w:val="normaltableau"/>
        <w:suppressAutoHyphens/>
        <w:spacing w:before="0" w:after="0" w:line="360" w:lineRule="auto"/>
        <w:ind w:left="-284" w:right="-284"/>
        <w:rPr>
          <w:rFonts w:ascii="Arial" w:hAnsi="Arial" w:cs="Arial"/>
          <w:strike/>
          <w:sz w:val="18"/>
          <w:szCs w:val="18"/>
          <w:lang w:val="pl-PL" w:eastAsia="ar-SA"/>
        </w:rPr>
      </w:pPr>
    </w:p>
    <w:p w:rsidR="005E6A7B" w:rsidRPr="005E6A7B" w:rsidRDefault="005E6A7B" w:rsidP="005E6A7B">
      <w:pPr>
        <w:pStyle w:val="normaltableau"/>
        <w:suppressAutoHyphens/>
        <w:spacing w:before="0" w:after="0" w:line="360" w:lineRule="auto"/>
        <w:ind w:left="-284" w:right="-284"/>
        <w:rPr>
          <w:rFonts w:ascii="Arial" w:hAnsi="Arial" w:cs="Arial"/>
          <w:sz w:val="18"/>
          <w:szCs w:val="18"/>
          <w:lang w:val="pl-PL" w:eastAsia="ar-SA"/>
        </w:rPr>
      </w:pPr>
      <w:r w:rsidRPr="005E6A7B">
        <w:rPr>
          <w:rFonts w:ascii="Arial" w:hAnsi="Arial" w:cs="Arial"/>
          <w:sz w:val="18"/>
          <w:szCs w:val="18"/>
          <w:lang w:val="pl-PL" w:eastAsia="ar-SA"/>
        </w:rPr>
        <w:t>Wykonawca w cenie oferty zapewnia:</w:t>
      </w:r>
    </w:p>
    <w:p w:rsidR="005E6A7B" w:rsidRPr="005E6A7B" w:rsidRDefault="005E6A7B" w:rsidP="005E6A7B">
      <w:pPr>
        <w:numPr>
          <w:ilvl w:val="0"/>
          <w:numId w:val="8"/>
        </w:numPr>
        <w:tabs>
          <w:tab w:val="clear" w:pos="720"/>
          <w:tab w:val="num" w:pos="-426"/>
        </w:tabs>
        <w:suppressAutoHyphens/>
        <w:spacing w:line="360" w:lineRule="auto"/>
        <w:ind w:left="-284" w:right="-284" w:firstLine="0"/>
        <w:jc w:val="both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>serwis w okresie gwarancji,</w:t>
      </w:r>
    </w:p>
    <w:p w:rsidR="005E6A7B" w:rsidRPr="005E6A7B" w:rsidRDefault="005E6A7B" w:rsidP="005E6A7B">
      <w:pPr>
        <w:numPr>
          <w:ilvl w:val="0"/>
          <w:numId w:val="8"/>
        </w:numPr>
        <w:tabs>
          <w:tab w:val="clear" w:pos="720"/>
          <w:tab w:val="num" w:pos="-426"/>
        </w:tabs>
        <w:suppressAutoHyphens/>
        <w:spacing w:line="360" w:lineRule="auto"/>
        <w:ind w:left="-284" w:right="-284" w:firstLine="0"/>
        <w:jc w:val="both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>przedłużenie gwarancji o każdą konieczność zatrzymania przedmiotu zamówienia w serwisie ponad 24 godz.,</w:t>
      </w:r>
    </w:p>
    <w:p w:rsidR="005E6A7B" w:rsidRPr="005E6A7B" w:rsidRDefault="005E6A7B" w:rsidP="005E6A7B">
      <w:pPr>
        <w:pStyle w:val="normaltableau"/>
        <w:numPr>
          <w:ilvl w:val="0"/>
          <w:numId w:val="8"/>
        </w:numPr>
        <w:tabs>
          <w:tab w:val="clear" w:pos="720"/>
          <w:tab w:val="num" w:pos="-426"/>
        </w:tabs>
        <w:suppressAutoHyphens/>
        <w:spacing w:before="0" w:after="0" w:line="360" w:lineRule="auto"/>
        <w:ind w:left="-284" w:right="-284" w:firstLine="0"/>
        <w:rPr>
          <w:rFonts w:ascii="Arial" w:hAnsi="Arial" w:cs="Arial"/>
          <w:sz w:val="18"/>
          <w:szCs w:val="18"/>
          <w:lang w:val="pl-PL" w:eastAsia="ar-SA"/>
        </w:rPr>
      </w:pPr>
      <w:r w:rsidRPr="005E6A7B">
        <w:rPr>
          <w:rFonts w:ascii="Arial" w:hAnsi="Arial" w:cs="Arial"/>
          <w:sz w:val="18"/>
          <w:szCs w:val="18"/>
          <w:lang w:val="pl-PL" w:eastAsia="ar-SA"/>
        </w:rPr>
        <w:t>w okresie gwarancji przeglądy gwarancyjne wymagane i zalecane przez producenta oferowanego przedmiotu zamówienia,</w:t>
      </w:r>
    </w:p>
    <w:p w:rsidR="005E6A7B" w:rsidRPr="005E6A7B" w:rsidRDefault="005E6A7B" w:rsidP="005E6A7B">
      <w:pPr>
        <w:numPr>
          <w:ilvl w:val="0"/>
          <w:numId w:val="8"/>
        </w:numPr>
        <w:tabs>
          <w:tab w:val="clear" w:pos="720"/>
          <w:tab w:val="num" w:pos="-426"/>
        </w:tabs>
        <w:suppressAutoHyphens/>
        <w:spacing w:line="360" w:lineRule="auto"/>
        <w:ind w:left="-284" w:right="-284" w:firstLine="0"/>
        <w:jc w:val="both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>przeprowadzenie szkolenia personelu medycznego w zakresie obsługi w siedzibie Zamawiającego,</w:t>
      </w:r>
    </w:p>
    <w:p w:rsidR="005E6A7B" w:rsidRPr="005E6A7B" w:rsidRDefault="005E6A7B" w:rsidP="005E6A7B">
      <w:pPr>
        <w:numPr>
          <w:ilvl w:val="0"/>
          <w:numId w:val="8"/>
        </w:numPr>
        <w:tabs>
          <w:tab w:val="clear" w:pos="720"/>
          <w:tab w:val="num" w:pos="-426"/>
        </w:tabs>
        <w:suppressAutoHyphens/>
        <w:spacing w:line="360" w:lineRule="auto"/>
        <w:ind w:left="-284" w:right="-284" w:firstLine="0"/>
        <w:jc w:val="both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 xml:space="preserve">instrukcję obsługi urządzenia w języku polskim wraz z dostawą sprzętu. </w:t>
      </w:r>
    </w:p>
    <w:p w:rsidR="005E6A7B" w:rsidRPr="005E6A7B" w:rsidRDefault="005E6A7B" w:rsidP="005E6A7B">
      <w:pPr>
        <w:spacing w:line="360" w:lineRule="auto"/>
        <w:ind w:left="-284" w:right="-284"/>
        <w:jc w:val="both"/>
        <w:rPr>
          <w:rFonts w:ascii="Arial" w:hAnsi="Arial" w:cs="Arial"/>
          <w:strike/>
          <w:sz w:val="18"/>
          <w:szCs w:val="18"/>
        </w:rPr>
      </w:pPr>
    </w:p>
    <w:p w:rsidR="005E6A7B" w:rsidRPr="005E6A7B" w:rsidRDefault="005E6A7B" w:rsidP="005E6A7B">
      <w:pPr>
        <w:pStyle w:val="Tekstpodstawowy"/>
        <w:spacing w:after="0" w:line="360" w:lineRule="auto"/>
        <w:ind w:left="-284" w:right="-284"/>
        <w:jc w:val="both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>Wykonawca nie ma prawa zakładać kodów serwisowych/administracyjnych uniemożliwiających serwisowanie urządzenia po okresie gwarancji serwisowi innemu niż autoryzowany.</w:t>
      </w:r>
    </w:p>
    <w:p w:rsidR="005E6A7B" w:rsidRPr="005E6A7B" w:rsidRDefault="005E6A7B" w:rsidP="005E6A7B">
      <w:pPr>
        <w:pStyle w:val="Tekstpodstawowy"/>
        <w:spacing w:after="0" w:line="360" w:lineRule="auto"/>
        <w:ind w:left="-284" w:right="-284"/>
        <w:jc w:val="both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 xml:space="preserve">W przypadku założonych kodów serwisowych Wykonawca zobowiązany jest je złożyć w zalakowanej kopercie w dniu dostawy sprzętu. </w:t>
      </w:r>
    </w:p>
    <w:p w:rsidR="005E6A7B" w:rsidRPr="005E6A7B" w:rsidRDefault="005E6A7B" w:rsidP="005E6A7B">
      <w:pPr>
        <w:ind w:left="-284" w:right="-284"/>
        <w:jc w:val="both"/>
        <w:rPr>
          <w:rFonts w:ascii="Arial" w:hAnsi="Arial" w:cs="Arial"/>
          <w:color w:val="0070C0"/>
          <w:sz w:val="18"/>
          <w:szCs w:val="18"/>
        </w:rPr>
      </w:pPr>
    </w:p>
    <w:p w:rsidR="005E6A7B" w:rsidRPr="005E6A7B" w:rsidRDefault="005E6A7B" w:rsidP="005E6A7B">
      <w:pPr>
        <w:ind w:left="-284" w:right="-284"/>
        <w:jc w:val="both"/>
        <w:rPr>
          <w:rFonts w:ascii="Arial" w:hAnsi="Arial" w:cs="Arial"/>
          <w:color w:val="0070C0"/>
          <w:sz w:val="18"/>
          <w:szCs w:val="18"/>
        </w:rPr>
      </w:pPr>
    </w:p>
    <w:p w:rsidR="005E6A7B" w:rsidRPr="005E6A7B" w:rsidRDefault="005E6A7B" w:rsidP="005E6A7B">
      <w:pPr>
        <w:keepLines/>
        <w:ind w:left="-284" w:right="-284"/>
        <w:textAlignment w:val="baseline"/>
        <w:rPr>
          <w:rFonts w:ascii="Arial" w:hAnsi="Arial" w:cs="Arial"/>
          <w:sz w:val="18"/>
          <w:szCs w:val="18"/>
        </w:rPr>
      </w:pPr>
      <w:bookmarkStart w:id="1" w:name="_PictureBullets"/>
      <w:r w:rsidRPr="005E6A7B">
        <w:rPr>
          <w:rFonts w:ascii="Arial" w:hAnsi="Arial" w:cs="Arial"/>
          <w:sz w:val="18"/>
          <w:szCs w:val="18"/>
        </w:rPr>
        <w:t>........................ dnia …….........                                                                                                                  ………………………………………………………………………</w:t>
      </w:r>
    </w:p>
    <w:p w:rsidR="005E6A7B" w:rsidRPr="005E6A7B" w:rsidRDefault="005E6A7B" w:rsidP="005E6A7B">
      <w:pPr>
        <w:keepLines/>
        <w:ind w:left="7938" w:right="822"/>
        <w:jc w:val="center"/>
        <w:textAlignment w:val="baseline"/>
        <w:rPr>
          <w:rFonts w:ascii="Arial" w:hAnsi="Arial" w:cs="Arial"/>
          <w:sz w:val="16"/>
          <w:szCs w:val="16"/>
        </w:rPr>
      </w:pPr>
      <w:r w:rsidRPr="005E6A7B">
        <w:rPr>
          <w:rFonts w:ascii="Arial" w:hAnsi="Arial" w:cs="Arial"/>
          <w:sz w:val="16"/>
          <w:szCs w:val="16"/>
        </w:rPr>
        <w:t>podpis osoby/osób wskazanych w dokumencie,</w:t>
      </w:r>
    </w:p>
    <w:p w:rsidR="005E6A7B" w:rsidRPr="005E6A7B" w:rsidRDefault="005E6A7B" w:rsidP="005E6A7B">
      <w:pPr>
        <w:keepLines/>
        <w:ind w:left="7938" w:right="822"/>
        <w:jc w:val="center"/>
        <w:textAlignment w:val="baseline"/>
        <w:rPr>
          <w:rFonts w:ascii="Arial" w:hAnsi="Arial" w:cs="Arial"/>
          <w:sz w:val="16"/>
          <w:szCs w:val="16"/>
        </w:rPr>
      </w:pPr>
      <w:r w:rsidRPr="005E6A7B">
        <w:rPr>
          <w:rFonts w:ascii="Arial" w:hAnsi="Arial" w:cs="Arial"/>
          <w:sz w:val="16"/>
          <w:szCs w:val="16"/>
        </w:rPr>
        <w:t>uprawnionej/uprawnionych do występowania w obrocie prawnym,</w:t>
      </w:r>
    </w:p>
    <w:p w:rsidR="005E6A7B" w:rsidRPr="005E6A7B" w:rsidRDefault="005E6A7B" w:rsidP="005E6A7B">
      <w:pPr>
        <w:keepNext/>
        <w:keepLines/>
        <w:ind w:left="7938" w:right="822"/>
        <w:rPr>
          <w:rFonts w:ascii="Arial" w:hAnsi="Arial" w:cs="Arial"/>
          <w:sz w:val="16"/>
          <w:szCs w:val="16"/>
        </w:rPr>
      </w:pPr>
      <w:r w:rsidRPr="005E6A7B">
        <w:rPr>
          <w:rFonts w:ascii="Arial" w:hAnsi="Arial" w:cs="Arial"/>
          <w:sz w:val="16"/>
          <w:szCs w:val="16"/>
        </w:rPr>
        <w:t>reprezentowania Wykonawcy i składania oświadczeń woli w jego imieniu</w:t>
      </w:r>
      <w:r w:rsidRPr="005E6A7B">
        <w:rPr>
          <w:rFonts w:ascii="Arial" w:hAnsi="Arial" w:cs="Arial"/>
          <w:noProof/>
          <w:vanish/>
          <w:sz w:val="16"/>
          <w:szCs w:val="16"/>
        </w:rPr>
        <w:t xml:space="preserve"> </w:t>
      </w:r>
      <w:r w:rsidRPr="005E6A7B">
        <w:rPr>
          <w:rFonts w:ascii="Arial" w:hAnsi="Arial" w:cs="Arial"/>
          <w:noProof/>
          <w:vanish/>
          <w:sz w:val="16"/>
          <w:szCs w:val="16"/>
        </w:rPr>
        <w:drawing>
          <wp:inline distT="0" distB="0" distL="0" distR="0" wp14:anchorId="78128664" wp14:editId="79BA99F8">
            <wp:extent cx="66675" cy="1143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A7B" w:rsidRPr="005E6A7B" w:rsidRDefault="005E6A7B" w:rsidP="005E6A7B">
      <w:pPr>
        <w:keepNext/>
        <w:keepLines/>
        <w:ind w:left="4678" w:right="-726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noProof/>
          <w:vanish/>
          <w:sz w:val="18"/>
          <w:szCs w:val="18"/>
        </w:rPr>
        <w:drawing>
          <wp:inline distT="0" distB="0" distL="0" distR="0" wp14:anchorId="06B1B1D0" wp14:editId="69FF2FA2">
            <wp:extent cx="66675" cy="1143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5E6A7B" w:rsidRPr="005E6A7B" w:rsidRDefault="005E6A7B" w:rsidP="005E6A7B">
      <w:pPr>
        <w:rPr>
          <w:rFonts w:ascii="Arial" w:hAnsi="Arial" w:cs="Arial"/>
          <w:sz w:val="18"/>
          <w:szCs w:val="18"/>
        </w:rPr>
      </w:pPr>
    </w:p>
    <w:p w:rsidR="00984B5D" w:rsidRPr="005E6A7B" w:rsidRDefault="00984B5D" w:rsidP="00227862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E3BAD" w:rsidRPr="005E6A7B" w:rsidRDefault="005E3BAD" w:rsidP="00227862">
      <w:pPr>
        <w:rPr>
          <w:rFonts w:ascii="Arial" w:hAnsi="Arial" w:cs="Arial"/>
          <w:sz w:val="18"/>
          <w:szCs w:val="18"/>
        </w:rPr>
      </w:pPr>
    </w:p>
    <w:p w:rsidR="005E6A7B" w:rsidRPr="005E6A7B" w:rsidRDefault="005E6A7B" w:rsidP="00227862">
      <w:pPr>
        <w:rPr>
          <w:rFonts w:ascii="Arial" w:hAnsi="Arial" w:cs="Arial"/>
          <w:sz w:val="18"/>
          <w:szCs w:val="18"/>
        </w:rPr>
      </w:pPr>
    </w:p>
    <w:p w:rsidR="005E6A7B" w:rsidRPr="005E6A7B" w:rsidRDefault="005E6A7B" w:rsidP="00227862">
      <w:pPr>
        <w:rPr>
          <w:rFonts w:ascii="Arial" w:hAnsi="Arial" w:cs="Arial"/>
          <w:sz w:val="18"/>
          <w:szCs w:val="18"/>
        </w:rPr>
      </w:pPr>
    </w:p>
    <w:p w:rsidR="00991C20" w:rsidRPr="005E6A7B" w:rsidRDefault="00991C20" w:rsidP="00227862">
      <w:pPr>
        <w:rPr>
          <w:rFonts w:ascii="Arial" w:hAnsi="Arial" w:cs="Arial"/>
          <w:sz w:val="18"/>
          <w:szCs w:val="18"/>
        </w:rPr>
      </w:pPr>
    </w:p>
    <w:sectPr w:rsidR="00991C20" w:rsidRPr="005E6A7B" w:rsidSect="00B650E6">
      <w:pgSz w:w="16840" w:h="11900" w:orient="landscape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CAA" w:rsidRDefault="00A90CAA" w:rsidP="004A72EF">
      <w:r>
        <w:separator/>
      </w:r>
    </w:p>
  </w:endnote>
  <w:endnote w:type="continuationSeparator" w:id="0">
    <w:p w:rsidR="00A90CAA" w:rsidRDefault="00A90CAA" w:rsidP="004A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CAA" w:rsidRDefault="00A90CAA" w:rsidP="004A72EF">
      <w:r>
        <w:separator/>
      </w:r>
    </w:p>
  </w:footnote>
  <w:footnote w:type="continuationSeparator" w:id="0">
    <w:p w:rsidR="00A90CAA" w:rsidRDefault="00A90CAA" w:rsidP="004A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C4B02D4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18"/>
        <w:szCs w:val="18"/>
      </w:rPr>
    </w:lvl>
  </w:abstractNum>
  <w:abstractNum w:abstractNumId="1" w15:restartNumberingAfterBreak="0">
    <w:nsid w:val="040A34D5"/>
    <w:multiLevelType w:val="multilevel"/>
    <w:tmpl w:val="06F8D4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F2F5B"/>
    <w:multiLevelType w:val="hybridMultilevel"/>
    <w:tmpl w:val="0D609266"/>
    <w:lvl w:ilvl="0" w:tplc="1A2669CC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7C2CB7"/>
    <w:multiLevelType w:val="multilevel"/>
    <w:tmpl w:val="6C686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01500"/>
    <w:multiLevelType w:val="multilevel"/>
    <w:tmpl w:val="87D8FC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86084"/>
    <w:multiLevelType w:val="multilevel"/>
    <w:tmpl w:val="F636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00291"/>
    <w:multiLevelType w:val="multilevel"/>
    <w:tmpl w:val="33C8CE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D338F"/>
    <w:multiLevelType w:val="multilevel"/>
    <w:tmpl w:val="68420B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B5D"/>
    <w:rsid w:val="00081C34"/>
    <w:rsid w:val="0009721D"/>
    <w:rsid w:val="001A1762"/>
    <w:rsid w:val="00227862"/>
    <w:rsid w:val="0036658C"/>
    <w:rsid w:val="00455BAE"/>
    <w:rsid w:val="004A72EF"/>
    <w:rsid w:val="0050645C"/>
    <w:rsid w:val="00541741"/>
    <w:rsid w:val="005B2D97"/>
    <w:rsid w:val="005E3BAD"/>
    <w:rsid w:val="005E6A7B"/>
    <w:rsid w:val="00626436"/>
    <w:rsid w:val="0069086B"/>
    <w:rsid w:val="007026AF"/>
    <w:rsid w:val="00746415"/>
    <w:rsid w:val="0076161E"/>
    <w:rsid w:val="007D5A01"/>
    <w:rsid w:val="0081312F"/>
    <w:rsid w:val="00823D8F"/>
    <w:rsid w:val="00833E8C"/>
    <w:rsid w:val="008829F8"/>
    <w:rsid w:val="008A279D"/>
    <w:rsid w:val="00926A5B"/>
    <w:rsid w:val="00984B5D"/>
    <w:rsid w:val="00991C20"/>
    <w:rsid w:val="009C7781"/>
    <w:rsid w:val="00A63FF5"/>
    <w:rsid w:val="00A90CAA"/>
    <w:rsid w:val="00AB3B78"/>
    <w:rsid w:val="00AB55F8"/>
    <w:rsid w:val="00B15AAB"/>
    <w:rsid w:val="00B16566"/>
    <w:rsid w:val="00B650E6"/>
    <w:rsid w:val="00BA5BA1"/>
    <w:rsid w:val="00BF0268"/>
    <w:rsid w:val="00C86057"/>
    <w:rsid w:val="00C938AB"/>
    <w:rsid w:val="00D47954"/>
    <w:rsid w:val="00D60230"/>
    <w:rsid w:val="00D7652F"/>
    <w:rsid w:val="00DB3DD5"/>
    <w:rsid w:val="00E76A58"/>
    <w:rsid w:val="00E860A0"/>
    <w:rsid w:val="00E9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ED14"/>
  <w15:docId w15:val="{48BB5FD1-1B96-47F9-B400-BA661C2D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4B5D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4B5D"/>
    <w:pPr>
      <w:keepNext/>
      <w:suppressAutoHyphens/>
      <w:snapToGrid w:val="0"/>
      <w:jc w:val="center"/>
      <w:outlineLvl w:val="0"/>
    </w:pPr>
    <w:rPr>
      <w:rFonts w:ascii="Arial Narrow" w:hAnsi="Arial Narrow"/>
      <w:b/>
      <w:bCs/>
      <w:sz w:val="1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4B5D"/>
    <w:rPr>
      <w:rFonts w:ascii="Arial Narrow" w:eastAsia="Times New Roman" w:hAnsi="Arial Narrow" w:cs="Times New Roman"/>
      <w:b/>
      <w:bCs/>
      <w:sz w:val="18"/>
      <w:szCs w:val="20"/>
      <w:lang w:eastAsia="ar-SA"/>
    </w:rPr>
  </w:style>
  <w:style w:type="paragraph" w:styleId="Tytu">
    <w:name w:val="Title"/>
    <w:basedOn w:val="Normalny"/>
    <w:link w:val="TytuZnak"/>
    <w:qFormat/>
    <w:rsid w:val="00984B5D"/>
    <w:pPr>
      <w:shd w:val="clear" w:color="auto" w:fill="FFFFFF"/>
      <w:suppressAutoHyphens/>
      <w:spacing w:line="254" w:lineRule="exact"/>
      <w:ind w:right="883"/>
      <w:jc w:val="center"/>
    </w:pPr>
    <w:rPr>
      <w:rFonts w:ascii="Arial Narrow" w:hAnsi="Arial Narrow"/>
      <w:b/>
      <w:bCs/>
      <w:color w:val="000000"/>
      <w:sz w:val="26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984B5D"/>
    <w:rPr>
      <w:rFonts w:ascii="Arial Narrow" w:eastAsia="Times New Roman" w:hAnsi="Arial Narrow" w:cs="Times New Roman"/>
      <w:b/>
      <w:bCs/>
      <w:color w:val="000000"/>
      <w:sz w:val="26"/>
      <w:szCs w:val="28"/>
      <w:shd w:val="clear" w:color="auto" w:fill="FFFFFF"/>
      <w:lang w:eastAsia="ar-SA"/>
    </w:rPr>
  </w:style>
  <w:style w:type="paragraph" w:customStyle="1" w:styleId="Zawartotabeli">
    <w:name w:val="Zawartość tabeli"/>
    <w:basedOn w:val="Normalny"/>
    <w:rsid w:val="00984B5D"/>
    <w:pPr>
      <w:widowControl w:val="0"/>
      <w:suppressLineNumbers/>
      <w:suppressAutoHyphens/>
    </w:pPr>
    <w:rPr>
      <w:lang w:eastAsia="ar-SA"/>
    </w:rPr>
  </w:style>
  <w:style w:type="paragraph" w:customStyle="1" w:styleId="AbsatzTableFormat">
    <w:name w:val="AbsatzTableFormat"/>
    <w:basedOn w:val="Normalny"/>
    <w:rsid w:val="00984B5D"/>
    <w:pPr>
      <w:suppressAutoHyphens/>
      <w:spacing w:line="360" w:lineRule="auto"/>
    </w:pPr>
    <w:rPr>
      <w:rFonts w:eastAsia="MS Mincho"/>
      <w:bCs/>
      <w:sz w:val="20"/>
      <w:szCs w:val="16"/>
      <w:lang w:eastAsia="ar-SA"/>
    </w:rPr>
  </w:style>
  <w:style w:type="paragraph" w:customStyle="1" w:styleId="Style9">
    <w:name w:val="Style9"/>
    <w:basedOn w:val="Normalny"/>
    <w:rsid w:val="00984B5D"/>
    <w:pPr>
      <w:widowControl w:val="0"/>
      <w:autoSpaceDE w:val="0"/>
      <w:autoSpaceDN w:val="0"/>
      <w:spacing w:line="184" w:lineRule="exact"/>
    </w:pPr>
    <w:rPr>
      <w:lang w:val="en-US"/>
    </w:rPr>
  </w:style>
  <w:style w:type="paragraph" w:customStyle="1" w:styleId="Standard">
    <w:name w:val="Standard"/>
    <w:rsid w:val="00984B5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4A72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72E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72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72EF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E6A7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6A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uiPriority w:val="99"/>
    <w:rsid w:val="005E6A7B"/>
    <w:pPr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12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8118E-A6AB-4A6D-A15E-951271E7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2253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KCZ</Company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tjanyk_adm</dc:creator>
  <cp:lastModifiedBy>Agnieszka</cp:lastModifiedBy>
  <cp:revision>5</cp:revision>
  <cp:lastPrinted>2019-08-26T17:14:00Z</cp:lastPrinted>
  <dcterms:created xsi:type="dcterms:W3CDTF">2019-08-26T08:26:00Z</dcterms:created>
  <dcterms:modified xsi:type="dcterms:W3CDTF">2019-08-26T17:20:00Z</dcterms:modified>
</cp:coreProperties>
</file>